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8EF" w:rsidRDefault="00775E52">
      <w:pPr>
        <w:pStyle w:val="a7"/>
        <w:rPr>
          <w:b w:val="0"/>
        </w:rPr>
      </w:pPr>
      <w:r>
        <w:rPr>
          <w:b w:val="0"/>
        </w:rPr>
        <w:t>СПРАВКА</w:t>
      </w:r>
    </w:p>
    <w:p w:rsidR="000D48EF" w:rsidRDefault="00775E52">
      <w:pPr>
        <w:jc w:val="center"/>
        <w:rPr>
          <w:sz w:val="28"/>
        </w:rPr>
      </w:pPr>
      <w:r>
        <w:rPr>
          <w:sz w:val="28"/>
        </w:rPr>
        <w:t>о работе с обращениями граждан и запросами пользователей информацией</w:t>
      </w:r>
    </w:p>
    <w:p w:rsidR="000D48EF" w:rsidRDefault="00775E52">
      <w:pPr>
        <w:jc w:val="center"/>
        <w:rPr>
          <w:sz w:val="28"/>
        </w:rPr>
      </w:pPr>
      <w:r>
        <w:rPr>
          <w:sz w:val="28"/>
        </w:rPr>
        <w:t>в УФНС России по Кировской области за 4 квартал 2025 года</w:t>
      </w:r>
    </w:p>
    <w:p w:rsidR="000D48EF" w:rsidRDefault="000D48EF">
      <w:pPr>
        <w:jc w:val="both"/>
        <w:rPr>
          <w:sz w:val="28"/>
        </w:rPr>
      </w:pPr>
    </w:p>
    <w:p w:rsidR="000D48EF" w:rsidRDefault="00775E52">
      <w:pPr>
        <w:ind w:firstLine="851"/>
        <w:jc w:val="both"/>
        <w:rPr>
          <w:sz w:val="28"/>
        </w:rPr>
      </w:pPr>
      <w:r>
        <w:rPr>
          <w:sz w:val="28"/>
        </w:rPr>
        <w:t xml:space="preserve">В УФНС России по Кировской области (далее - Управление) в 4 квартале 2025 года поступило </w:t>
      </w:r>
      <w:r>
        <w:rPr>
          <w:b/>
          <w:sz w:val="28"/>
        </w:rPr>
        <w:t>14276</w:t>
      </w:r>
      <w:r>
        <w:rPr>
          <w:sz w:val="28"/>
        </w:rPr>
        <w:t xml:space="preserve"> обращений граждан, организаций и общественных объединений, в том числе зарегистрировано в БД СЭД-Регион «Канцелярия ЗГ» - </w:t>
      </w:r>
      <w:r>
        <w:rPr>
          <w:b/>
          <w:sz w:val="28"/>
        </w:rPr>
        <w:t>4149</w:t>
      </w:r>
      <w:r>
        <w:rPr>
          <w:sz w:val="28"/>
        </w:rPr>
        <w:t xml:space="preserve"> обращений (29,1 %), в прикладной подсистеме «Система обработки обращений налогоплательщиков» (далее - ПП СООН) заявления в свободной форме – </w:t>
      </w:r>
      <w:r>
        <w:rPr>
          <w:b/>
          <w:sz w:val="28"/>
        </w:rPr>
        <w:t>10127</w:t>
      </w:r>
      <w:r>
        <w:rPr>
          <w:sz w:val="28"/>
        </w:rPr>
        <w:t xml:space="preserve"> обращений (70,9 %). </w:t>
      </w:r>
    </w:p>
    <w:p w:rsidR="000D48EF" w:rsidRDefault="00775E52">
      <w:pPr>
        <w:ind w:firstLine="851"/>
        <w:jc w:val="both"/>
        <w:rPr>
          <w:sz w:val="28"/>
        </w:rPr>
      </w:pPr>
      <w:r>
        <w:rPr>
          <w:sz w:val="28"/>
        </w:rPr>
        <w:t>По сравнению с аналогичным периодом прошлого года количество обращений граждан и организаций увеличилось на 13,8 % (в 4 квартале 2024 года поступило – 12554 обращения).</w:t>
      </w:r>
    </w:p>
    <w:p w:rsidR="000D48EF" w:rsidRDefault="00775E52">
      <w:pPr>
        <w:pStyle w:val="Default"/>
        <w:ind w:firstLine="851"/>
        <w:jc w:val="both"/>
        <w:rPr>
          <w:sz w:val="28"/>
          <w:highlight w:val="yellow"/>
        </w:rPr>
      </w:pPr>
      <w:r>
        <w:rPr>
          <w:sz w:val="28"/>
        </w:rPr>
        <w:t xml:space="preserve">В отчетном периоде через электронные сервисы поступило </w:t>
      </w:r>
      <w:r>
        <w:rPr>
          <w:b/>
          <w:sz w:val="28"/>
        </w:rPr>
        <w:t xml:space="preserve">12573 </w:t>
      </w:r>
      <w:r>
        <w:rPr>
          <w:sz w:val="28"/>
        </w:rPr>
        <w:t xml:space="preserve">обращения (88 %), на бумажном носителе – </w:t>
      </w:r>
      <w:r>
        <w:rPr>
          <w:b/>
          <w:sz w:val="28"/>
        </w:rPr>
        <w:t>1588</w:t>
      </w:r>
      <w:r>
        <w:rPr>
          <w:sz w:val="28"/>
        </w:rPr>
        <w:t xml:space="preserve"> обращений (11,1 % от общего количества), по системе межведомственного электронного документооборота – </w:t>
      </w:r>
      <w:r>
        <w:rPr>
          <w:b/>
          <w:sz w:val="28"/>
        </w:rPr>
        <w:t>115</w:t>
      </w:r>
      <w:r>
        <w:rPr>
          <w:sz w:val="28"/>
        </w:rPr>
        <w:t xml:space="preserve"> обращений (0,9 % от общего количества).</w:t>
      </w:r>
    </w:p>
    <w:p w:rsidR="000D48EF" w:rsidRDefault="00775E52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 xml:space="preserve">Из общего количества обращений, поступивших в Управление в 4 квартале 2025 года, </w:t>
      </w:r>
      <w:r>
        <w:rPr>
          <w:b/>
          <w:sz w:val="28"/>
        </w:rPr>
        <w:t>12131</w:t>
      </w:r>
      <w:r>
        <w:rPr>
          <w:sz w:val="28"/>
        </w:rPr>
        <w:t xml:space="preserve"> составили обращения физических лиц и индивидуальных предпринимателей (85 %) и </w:t>
      </w:r>
      <w:r>
        <w:rPr>
          <w:b/>
          <w:sz w:val="28"/>
        </w:rPr>
        <w:t>2145</w:t>
      </w:r>
      <w:r>
        <w:rPr>
          <w:sz w:val="28"/>
        </w:rPr>
        <w:t xml:space="preserve"> - обращения юридических лиц (15 %).</w:t>
      </w:r>
    </w:p>
    <w:p w:rsidR="000D48EF" w:rsidRDefault="00775E52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>Для унификации учета, систематизации, обобщения и анализа обращений и запросов граждан, организаций и общественных объединений в Управлении применяется «Тематический классификатор обращений и запросов граждан, организаций и общественных объединений ФНС России».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 xml:space="preserve">Наибольшее количество </w:t>
      </w:r>
      <w:proofErr w:type="gramStart"/>
      <w:r>
        <w:rPr>
          <w:sz w:val="28"/>
        </w:rPr>
        <w:t>обращений, поступивших в Управление в 4 квартале 2025 года составили</w:t>
      </w:r>
      <w:proofErr w:type="gramEnd"/>
      <w:r>
        <w:rPr>
          <w:sz w:val="28"/>
        </w:rPr>
        <w:t xml:space="preserve"> обращения с тематикой </w:t>
      </w:r>
      <w:r>
        <w:rPr>
          <w:i/>
          <w:sz w:val="28"/>
        </w:rPr>
        <w:t xml:space="preserve">«Учет налогоплательщиков. Получение и отказ от ИНН» - </w:t>
      </w:r>
      <w:r>
        <w:rPr>
          <w:b/>
          <w:sz w:val="28"/>
        </w:rPr>
        <w:t>2358</w:t>
      </w:r>
      <w:r>
        <w:rPr>
          <w:sz w:val="28"/>
        </w:rPr>
        <w:t xml:space="preserve"> обращений (16,5 % от общего числа поступивших обращений). Основная часть обращений данной категории это запросы граждан и организаций о предоставлении информации о счетах в банках. В ряде случаев заявители просили внести соответствующие изменения в Единый государственный реестр налогоплательщиков (ЕГРН). Кроме того, часть обращений связана с требованием </w:t>
      </w:r>
      <w:proofErr w:type="gramStart"/>
      <w:r>
        <w:rPr>
          <w:sz w:val="28"/>
        </w:rPr>
        <w:t>прекратить</w:t>
      </w:r>
      <w:proofErr w:type="gramEnd"/>
      <w:r>
        <w:rPr>
          <w:sz w:val="28"/>
        </w:rPr>
        <w:t xml:space="preserve"> неправомерные, по мнению авторов действия при обработке их персональных данных и аннулировать присвоенный идентификационный номер налогоплательщика.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 xml:space="preserve">Немалую часть в отчетном периоде составили обращения по вопросам </w:t>
      </w:r>
      <w:r>
        <w:rPr>
          <w:i/>
          <w:sz w:val="28"/>
        </w:rPr>
        <w:t xml:space="preserve">возникновения задолженности по налогам (сборам, взносам); доступа к персонифицированной информации о состоянии расчета с бюджетом; возврата (зачета) сумм налогов, сборов, пеней, штрафов задолженности по налогам, сборам и взносам в бюджеты государственных внебюджетных фондов </w:t>
      </w:r>
      <w:r>
        <w:rPr>
          <w:sz w:val="28"/>
        </w:rPr>
        <w:t xml:space="preserve">– </w:t>
      </w:r>
      <w:r>
        <w:rPr>
          <w:b/>
          <w:sz w:val="28"/>
        </w:rPr>
        <w:t xml:space="preserve">2356 </w:t>
      </w:r>
      <w:r>
        <w:rPr>
          <w:sz w:val="28"/>
        </w:rPr>
        <w:t xml:space="preserve">обращений (16,5 %). Налогоплательщики запрашивали информацию о состоянии расчетов с бюджетом, об отражении информации и операций на ЕНС в Личном кабинете налогоплательщика, уточняли </w:t>
      </w:r>
      <w:r>
        <w:rPr>
          <w:sz w:val="28"/>
        </w:rPr>
        <w:lastRenderedPageBreak/>
        <w:t>принадлежность денежных средств, перечисленных в качестве ЕНП, просили вернуть образовавшуюся переплату по налогам, подтвердить обоснованность отказов в зачете (возврате) сумм налога.</w:t>
      </w:r>
    </w:p>
    <w:p w:rsidR="000D48EF" w:rsidRDefault="00775E52">
      <w:pPr>
        <w:spacing w:before="120"/>
        <w:jc w:val="both"/>
        <w:rPr>
          <w:sz w:val="28"/>
        </w:rPr>
      </w:pPr>
      <w:r>
        <w:rPr>
          <w:sz w:val="28"/>
        </w:rPr>
        <w:t xml:space="preserve">           Значимое количество обращений в данном периоде составили вопросы по тематике </w:t>
      </w:r>
      <w:r>
        <w:rPr>
          <w:i/>
          <w:sz w:val="28"/>
        </w:rPr>
        <w:t>администрирования имущественных налогов</w:t>
      </w:r>
      <w:r>
        <w:rPr>
          <w:sz w:val="28"/>
        </w:rPr>
        <w:t xml:space="preserve"> – </w:t>
      </w:r>
      <w:r>
        <w:rPr>
          <w:b/>
          <w:sz w:val="28"/>
        </w:rPr>
        <w:t xml:space="preserve">2308 </w:t>
      </w:r>
      <w:r>
        <w:rPr>
          <w:sz w:val="28"/>
        </w:rPr>
        <w:t>(16,2 %), (в том числе по транспортному налогу – 509, по налогу на имущество – 1526, по земельному налогу – 273).</w:t>
      </w:r>
    </w:p>
    <w:p w:rsidR="000D48EF" w:rsidRDefault="00775E52">
      <w:pPr>
        <w:spacing w:before="120"/>
        <w:jc w:val="both"/>
        <w:rPr>
          <w:sz w:val="28"/>
        </w:rPr>
      </w:pPr>
      <w:r>
        <w:rPr>
          <w:sz w:val="28"/>
        </w:rPr>
        <w:t xml:space="preserve">            Немалую часть в отчетном периоде составили обращения по вопросам </w:t>
      </w:r>
      <w:r>
        <w:rPr>
          <w:i/>
          <w:sz w:val="28"/>
        </w:rPr>
        <w:t>налогообложения доходов физических лиц</w:t>
      </w:r>
      <w:r>
        <w:rPr>
          <w:sz w:val="28"/>
        </w:rPr>
        <w:t xml:space="preserve"> – </w:t>
      </w:r>
      <w:r>
        <w:rPr>
          <w:b/>
          <w:sz w:val="28"/>
        </w:rPr>
        <w:t>1148</w:t>
      </w:r>
      <w:r>
        <w:rPr>
          <w:sz w:val="28"/>
        </w:rPr>
        <w:t xml:space="preserve"> (8 % от общего количества). В большинстве случаев заявители просили предоставить информацию о наличии остатков по имущественному налоговому вычету по расходам, связанным с приобретением жилых объектов недвижимости, и фактически произведенным расходам, связанным с погашением процентов по целевым займам (кредитам), направленным на приобретение жилья. Кроме того, заявители просили разъяснить вопросы о порядке предоставления социальных, имущественных налоговых вычетов по НДФЛ, возникновения у физических лиц обязанности представления налоговой декларации формы 3-НДФЛ при продаже имущества, при получении в дар объектов недвижимости.</w:t>
      </w:r>
    </w:p>
    <w:p w:rsidR="000D48EF" w:rsidRDefault="00775E52">
      <w:pPr>
        <w:spacing w:before="120"/>
        <w:jc w:val="both"/>
        <w:rPr>
          <w:sz w:val="28"/>
        </w:rPr>
      </w:pPr>
      <w:r>
        <w:rPr>
          <w:sz w:val="28"/>
        </w:rPr>
        <w:t xml:space="preserve">           По вопросам </w:t>
      </w:r>
      <w:r>
        <w:rPr>
          <w:i/>
          <w:sz w:val="28"/>
        </w:rPr>
        <w:t>актуализации сведений об объектах налогообложения</w:t>
      </w:r>
      <w:r>
        <w:rPr>
          <w:sz w:val="28"/>
        </w:rPr>
        <w:t xml:space="preserve"> поступило </w:t>
      </w:r>
      <w:r>
        <w:rPr>
          <w:b/>
          <w:sz w:val="28"/>
        </w:rPr>
        <w:t xml:space="preserve">1075 </w:t>
      </w:r>
      <w:r>
        <w:rPr>
          <w:sz w:val="28"/>
        </w:rPr>
        <w:t>обращений (7,5% от общего количества). На основании представленных заявителями документов внесены изменения в информационные ресурсы налоговых органов об объектах налогообложения и в необходимых случаях произведены перерасчеты сумм имущественных налогов.</w:t>
      </w:r>
    </w:p>
    <w:p w:rsidR="000D48EF" w:rsidRDefault="00775E52">
      <w:pPr>
        <w:spacing w:before="120"/>
        <w:jc w:val="both"/>
        <w:rPr>
          <w:sz w:val="28"/>
        </w:rPr>
      </w:pPr>
      <w:r>
        <w:rPr>
          <w:sz w:val="28"/>
        </w:rPr>
        <w:t xml:space="preserve">           Наряду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вышеуказанными</w:t>
      </w:r>
      <w:proofErr w:type="gramEnd"/>
      <w:r>
        <w:rPr>
          <w:sz w:val="28"/>
        </w:rPr>
        <w:t xml:space="preserve"> оставались актуальными обращения с тематикой </w:t>
      </w:r>
      <w:r>
        <w:rPr>
          <w:i/>
          <w:sz w:val="28"/>
        </w:rPr>
        <w:t>налогообложения малого бизнеса, специальных налоговых режимов</w:t>
      </w:r>
      <w:r>
        <w:rPr>
          <w:sz w:val="28"/>
        </w:rPr>
        <w:t xml:space="preserve"> – </w:t>
      </w:r>
      <w:r>
        <w:rPr>
          <w:b/>
          <w:sz w:val="28"/>
        </w:rPr>
        <w:t>731</w:t>
      </w:r>
      <w:r>
        <w:rPr>
          <w:sz w:val="28"/>
        </w:rPr>
        <w:t xml:space="preserve"> обращение (5,1 %). Налогоплательщики обращались за разъяснениями применения патентной системы налогообложения применительно к конкретным видам деятельности, единого сельскохозяйственного налога, исчисления налога на профессиональный доход, за перерасчетом стоимости патента, за подтверждениями правомерности применения упрощенной системы налогообложения, за выдачей патента (копий патента).</w:t>
      </w:r>
    </w:p>
    <w:p w:rsidR="000D48EF" w:rsidRDefault="00775E52">
      <w:pPr>
        <w:spacing w:before="120"/>
        <w:jc w:val="both"/>
        <w:rPr>
          <w:sz w:val="28"/>
        </w:rPr>
      </w:pPr>
      <w:r>
        <w:rPr>
          <w:sz w:val="28"/>
        </w:rPr>
        <w:t xml:space="preserve">          В связи с проведением информационной кампании по тематике исполнения налоговых уведомлений, направляемых в 2025 году, значительное количество обращений граждан составили вопросы </w:t>
      </w:r>
      <w:r>
        <w:rPr>
          <w:i/>
          <w:sz w:val="28"/>
        </w:rPr>
        <w:t>налоговых преференций и налоговых льгот физическим лицам</w:t>
      </w:r>
      <w:r>
        <w:rPr>
          <w:sz w:val="28"/>
        </w:rPr>
        <w:t xml:space="preserve"> - </w:t>
      </w:r>
      <w:r>
        <w:rPr>
          <w:b/>
          <w:sz w:val="28"/>
        </w:rPr>
        <w:t>618</w:t>
      </w:r>
      <w:r>
        <w:rPr>
          <w:sz w:val="28"/>
        </w:rPr>
        <w:t xml:space="preserve"> обращения (4,3 % от общего количества), а также </w:t>
      </w:r>
      <w:r>
        <w:rPr>
          <w:i/>
          <w:sz w:val="28"/>
        </w:rPr>
        <w:t xml:space="preserve">получение налоговых уведомлений об уплате налога </w:t>
      </w:r>
      <w:r>
        <w:rPr>
          <w:sz w:val="28"/>
        </w:rPr>
        <w:t>- 359 обращений (2,5 % от общего количества).</w:t>
      </w:r>
    </w:p>
    <w:p w:rsidR="000D48EF" w:rsidRDefault="00775E52">
      <w:pPr>
        <w:spacing w:before="120"/>
        <w:jc w:val="both"/>
        <w:rPr>
          <w:sz w:val="28"/>
        </w:rPr>
      </w:pPr>
      <w:r>
        <w:rPr>
          <w:sz w:val="28"/>
        </w:rPr>
        <w:t xml:space="preserve">         Обращения граждан связаны с вопросами предоставления льгот: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>•</w:t>
      </w:r>
      <w:r>
        <w:rPr>
          <w:sz w:val="28"/>
        </w:rPr>
        <w:tab/>
        <w:t xml:space="preserve">по налогу на имущество физических лиц в соответствии 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статьей</w:t>
      </w:r>
      <w:proofErr w:type="gramEnd"/>
      <w:r>
        <w:rPr>
          <w:sz w:val="28"/>
        </w:rPr>
        <w:t xml:space="preserve"> 407 НК РФ, а также в соответствии с Решением Кировской городской Думы от 25.11.2015 № 42/4 «О налоге на имущество физических лиц» по жилым </w:t>
      </w:r>
      <w:r>
        <w:rPr>
          <w:sz w:val="28"/>
        </w:rPr>
        <w:lastRenderedPageBreak/>
        <w:t>объектам недвижимости, находящимся в залоге по договорам ипотеки, а также физическим лицам, отнесенным к категории: «Члены многодетной семьи».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proofErr w:type="gramStart"/>
      <w:r>
        <w:rPr>
          <w:sz w:val="28"/>
        </w:rPr>
        <w:t>•</w:t>
      </w:r>
      <w:r>
        <w:rPr>
          <w:sz w:val="28"/>
        </w:rPr>
        <w:tab/>
        <w:t xml:space="preserve"> по транспортному налогу в соответствии с подпунктом 3 пункта 1 статьи 5 Закона Кировской области от 28.11.2002 № 114-ЗО «О транспортном налоге в Кировской области» в отношении тракторов и самоходных комбайнов всех марок, физическим лицам, ведущим личное подсобное хозяйство, а также в соответствии с Законом Кировской области «Об освобождении от уплаты транспортного налога отдельных категорий налогоплательщиков» от 24.11.2022 № 122-ЗО участникам СВО.</w:t>
      </w:r>
      <w:proofErr w:type="gramEnd"/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>Всем обратившимся, при наличии оснований на получение льгот, пересчитаны суммы по имущественным налогам за соответствующие налоговые периоды.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>Часть обращений физических лиц, зарегистрированных в качестве индивидуальных предпринимателей, связана с вопросами предоставления освобождения от уплаты налога на имущество физических лиц в соответствии с пунктом 3 статьи 346.11 НК РФ отношении имущества, используемого для осуществления предпринимательской деятельности.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>Кроме того, налогоплательщики обращались по вопросам разъяснения исчисления и уплаты имущественных налогов.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proofErr w:type="gramStart"/>
      <w:r>
        <w:rPr>
          <w:sz w:val="28"/>
        </w:rPr>
        <w:t xml:space="preserve">Помимо этого, часть обращений, поступивших в Управление в отчетном периоде, касались вопросов: </w:t>
      </w:r>
      <w:r>
        <w:rPr>
          <w:i/>
          <w:sz w:val="28"/>
        </w:rPr>
        <w:t>контроль и надзор в налоговой сфере</w:t>
      </w:r>
      <w:r>
        <w:rPr>
          <w:sz w:val="28"/>
        </w:rPr>
        <w:t xml:space="preserve"> - </w:t>
      </w:r>
      <w:r>
        <w:rPr>
          <w:b/>
          <w:sz w:val="28"/>
        </w:rPr>
        <w:t>606</w:t>
      </w:r>
      <w:r>
        <w:rPr>
          <w:sz w:val="28"/>
        </w:rPr>
        <w:t xml:space="preserve"> (4,2 %); </w:t>
      </w:r>
      <w:r>
        <w:rPr>
          <w:i/>
          <w:sz w:val="28"/>
        </w:rPr>
        <w:t>регистрации (перерегистрации) юридических лиц всех форм собственности, физических лиц в качестве индивидуальных предпринимателей и крестьянских (фермерских) хозяйств</w:t>
      </w:r>
      <w:r>
        <w:rPr>
          <w:sz w:val="28"/>
        </w:rPr>
        <w:t xml:space="preserve"> – </w:t>
      </w:r>
      <w:r>
        <w:rPr>
          <w:b/>
          <w:sz w:val="28"/>
        </w:rPr>
        <w:t>193</w:t>
      </w:r>
      <w:r>
        <w:rPr>
          <w:sz w:val="28"/>
        </w:rPr>
        <w:t xml:space="preserve"> (1,4 % от общего количества); </w:t>
      </w:r>
      <w:r>
        <w:rPr>
          <w:i/>
          <w:sz w:val="28"/>
        </w:rPr>
        <w:t>контроль и надзор в сфере применения контрольно-кассовой техники</w:t>
      </w:r>
      <w:r>
        <w:rPr>
          <w:sz w:val="28"/>
        </w:rPr>
        <w:t xml:space="preserve"> – </w:t>
      </w:r>
      <w:r>
        <w:rPr>
          <w:b/>
          <w:sz w:val="28"/>
        </w:rPr>
        <w:t>90</w:t>
      </w:r>
      <w:r>
        <w:rPr>
          <w:sz w:val="28"/>
        </w:rPr>
        <w:t xml:space="preserve"> (0,6%);</w:t>
      </w:r>
      <w:proofErr w:type="gramEnd"/>
      <w:r>
        <w:rPr>
          <w:sz w:val="28"/>
        </w:rPr>
        <w:t xml:space="preserve"> </w:t>
      </w:r>
      <w:r>
        <w:rPr>
          <w:i/>
          <w:sz w:val="28"/>
        </w:rPr>
        <w:t>валютный контроль</w:t>
      </w:r>
      <w:r>
        <w:rPr>
          <w:sz w:val="28"/>
        </w:rPr>
        <w:t xml:space="preserve"> - </w:t>
      </w:r>
      <w:r>
        <w:rPr>
          <w:b/>
          <w:sz w:val="28"/>
        </w:rPr>
        <w:t>35</w:t>
      </w:r>
      <w:r>
        <w:rPr>
          <w:sz w:val="28"/>
        </w:rPr>
        <w:t xml:space="preserve"> (0,2 %).</w:t>
      </w:r>
    </w:p>
    <w:p w:rsidR="000D48EF" w:rsidRDefault="00775E52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 xml:space="preserve">Как и в предыдущих периодах продолжали поступать обращения с </w:t>
      </w:r>
      <w:r>
        <w:rPr>
          <w:i/>
          <w:sz w:val="28"/>
        </w:rPr>
        <w:t>отзывом/прекращением рассмотрения ранее поданных обращений.</w:t>
      </w:r>
      <w:r>
        <w:rPr>
          <w:sz w:val="28"/>
        </w:rPr>
        <w:t xml:space="preserve"> В текущем периоде поступило </w:t>
      </w:r>
      <w:r>
        <w:rPr>
          <w:b/>
          <w:sz w:val="28"/>
        </w:rPr>
        <w:t>519</w:t>
      </w:r>
      <w:r>
        <w:rPr>
          <w:sz w:val="28"/>
        </w:rPr>
        <w:t xml:space="preserve"> заявлений (3,6 %).</w:t>
      </w:r>
    </w:p>
    <w:p w:rsidR="000D48EF" w:rsidRDefault="00775E52">
      <w:pPr>
        <w:jc w:val="both"/>
        <w:rPr>
          <w:sz w:val="28"/>
        </w:rPr>
      </w:pPr>
      <w:r>
        <w:rPr>
          <w:sz w:val="28"/>
        </w:rPr>
        <w:t xml:space="preserve">          Подробная статистика обращений граждан, поступивших в УФНС России по Кировской области, в разрезе тематики приведена в приложении № 1. </w:t>
      </w:r>
    </w:p>
    <w:p w:rsidR="000D48EF" w:rsidRDefault="00775E52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>Нарушений контрольного срока рассмотрения обращений граждан за отчетный период не установлено.</w:t>
      </w:r>
    </w:p>
    <w:p w:rsidR="000D48EF" w:rsidRDefault="00775E52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 xml:space="preserve">В 4 квартале 2025 года на личный прием к руководству Управления обратился один налогоплательщик по вопросам исключения двойного налогообложения; определение порядка транзита компенсаций за потреблённые коммунальные ресурсы собственниками от арендаторов. </w:t>
      </w:r>
      <w:proofErr w:type="gramStart"/>
      <w:r>
        <w:rPr>
          <w:sz w:val="28"/>
        </w:rPr>
        <w:t>Обратившемуся</w:t>
      </w:r>
      <w:proofErr w:type="gramEnd"/>
      <w:r>
        <w:rPr>
          <w:sz w:val="28"/>
        </w:rPr>
        <w:t>, с его согласия, уполномоченным должностным лицом Управления, в ходе личного приема, устно даны подробные разъяснения.</w:t>
      </w:r>
    </w:p>
    <w:p w:rsidR="000D48EF" w:rsidRDefault="000D48EF">
      <w:pPr>
        <w:pStyle w:val="Default"/>
        <w:ind w:firstLine="851"/>
        <w:jc w:val="both"/>
        <w:rPr>
          <w:sz w:val="28"/>
        </w:rPr>
      </w:pPr>
    </w:p>
    <w:p w:rsidR="000D48EF" w:rsidRDefault="00775E52">
      <w:pPr>
        <w:tabs>
          <w:tab w:val="left" w:pos="990"/>
        </w:tabs>
        <w:ind w:firstLine="567"/>
        <w:jc w:val="both"/>
        <w:rPr>
          <w:sz w:val="28"/>
        </w:rPr>
      </w:pPr>
      <w:r>
        <w:rPr>
          <w:sz w:val="28"/>
        </w:rPr>
        <w:t xml:space="preserve">    </w:t>
      </w:r>
    </w:p>
    <w:p w:rsidR="001862AA" w:rsidRDefault="001862AA">
      <w:pPr>
        <w:tabs>
          <w:tab w:val="left" w:pos="990"/>
        </w:tabs>
        <w:ind w:firstLine="567"/>
        <w:jc w:val="both"/>
        <w:rPr>
          <w:sz w:val="28"/>
        </w:rPr>
      </w:pPr>
    </w:p>
    <w:p w:rsidR="001862AA" w:rsidRDefault="001862AA">
      <w:pPr>
        <w:tabs>
          <w:tab w:val="left" w:pos="990"/>
        </w:tabs>
        <w:ind w:firstLine="567"/>
        <w:jc w:val="both"/>
        <w:rPr>
          <w:sz w:val="20"/>
        </w:rPr>
      </w:pPr>
      <w:bookmarkStart w:id="0" w:name="_GoBack"/>
      <w:bookmarkEnd w:id="0"/>
    </w:p>
    <w:p w:rsidR="000D48EF" w:rsidRDefault="00775E52">
      <w:pPr>
        <w:jc w:val="center"/>
        <w:rPr>
          <w:sz w:val="27"/>
        </w:rPr>
      </w:pPr>
      <w:r>
        <w:rPr>
          <w:sz w:val="27"/>
        </w:rPr>
        <w:lastRenderedPageBreak/>
        <w:t>СПРАВКА</w:t>
      </w:r>
    </w:p>
    <w:p w:rsidR="000D48EF" w:rsidRDefault="00775E52">
      <w:pPr>
        <w:jc w:val="center"/>
        <w:rPr>
          <w:sz w:val="26"/>
        </w:rPr>
      </w:pPr>
      <w:r>
        <w:rPr>
          <w:sz w:val="26"/>
        </w:rPr>
        <w:t xml:space="preserve">по тематике обращений граждан, </w:t>
      </w:r>
      <w:proofErr w:type="gramStart"/>
      <w:r>
        <w:rPr>
          <w:sz w:val="26"/>
        </w:rPr>
        <w:t>поступившим</w:t>
      </w:r>
      <w:proofErr w:type="gramEnd"/>
      <w:r>
        <w:rPr>
          <w:sz w:val="26"/>
        </w:rPr>
        <w:t xml:space="preserve"> в Управление за 4 квартал 2025 года</w:t>
      </w:r>
    </w:p>
    <w:p w:rsidR="000D48EF" w:rsidRDefault="00775E52">
      <w:pPr>
        <w:jc w:val="center"/>
        <w:rPr>
          <w:sz w:val="25"/>
        </w:rPr>
      </w:pPr>
      <w:r>
        <w:rPr>
          <w:sz w:val="25"/>
        </w:rPr>
        <w:t>в соответствии с Типовым общероссийским тематическим классификатором обращений граждан</w:t>
      </w:r>
    </w:p>
    <w:p w:rsidR="000D48EF" w:rsidRDefault="000D48EF">
      <w:pPr>
        <w:jc w:val="center"/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2856"/>
        <w:gridCol w:w="6040"/>
        <w:gridCol w:w="845"/>
      </w:tblGrid>
      <w:tr w:rsidR="000D48EF">
        <w:trPr>
          <w:trHeight w:val="300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center"/>
            </w:pPr>
            <w:r>
              <w:t>Код</w:t>
            </w:r>
          </w:p>
        </w:tc>
        <w:tc>
          <w:tcPr>
            <w:tcW w:w="6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center"/>
            </w:pPr>
            <w:r>
              <w:t>Наименование тематики документа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Кол-во</w:t>
            </w:r>
          </w:p>
        </w:tc>
      </w:tr>
      <w:tr w:rsidR="000D48EF">
        <w:trPr>
          <w:trHeight w:val="276"/>
        </w:trPr>
        <w:tc>
          <w:tcPr>
            <w:tcW w:w="2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/>
        </w:tc>
        <w:tc>
          <w:tcPr>
            <w:tcW w:w="6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/>
        </w:tc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/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center"/>
            </w:pPr>
            <w:r>
              <w:t>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center"/>
            </w:pPr>
            <w:r>
              <w:t>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center"/>
            </w:pPr>
            <w:r>
              <w:t>3</w:t>
            </w:r>
          </w:p>
        </w:tc>
      </w:tr>
      <w:tr w:rsidR="000D48EF">
        <w:trPr>
          <w:trHeight w:val="520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r>
              <w:t>0001.0000.0000.0000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Государство, общество, политика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0001.0002.0000.0000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Основы государственного управления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0001.0002.0023.0000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Органы исполнительной власти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0001.0002.0023.0062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0001.0002.0023.0063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Работа официального сайта федерального органа исполнительной власти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0001.0002.0023.0063.0102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Работоспособность официального сайта федерального органа исполнительной власти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0001.0002.0023.0063.0103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Информация, размещенная на официальном сайте федерального органа исполнительной власти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256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0001.0002.0023.0063.0104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Функционал личного кабинета налогоплательщика для физических лиц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116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0001.0002.0023.0063.0105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Функционал личного кабинета налогоплательщиков индивидуального предпринимателя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27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0001.0002.0023.0063.0106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Функционал личного кабинета налогоплательщика юридического лица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0001.0002.0023.0064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0001.0002.0023.0065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Деятельность общественного совета при органе исполнительной власти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0001.0002.0024.0000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0001.0002.0024.0066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0001.0002.0024.0067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Поступление на государственную службу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0001.0002.0024.0069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Прохождение государственной службы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0001.0002.0024.0069.0077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Назначение на должность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0001.0002.0024.0069.0078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Присвоение классного чина, дипломатического ранга, воинского и специального звания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0001.0002.0024.0069.0079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Аттестация или квалификационный экзамен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0001.0002.0024.0069.0080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Профессиональное развитие государственных служащих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0001.0002.0024.0069.0081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Кадровая политика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0001.0002.0024.0069.0082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другие обстоятельства (события), связанные с прохождением государственной службы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lastRenderedPageBreak/>
              <w:t>0001.0002.0024.0074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Полномочия государственных служащих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0001.0002.0024.0076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Использование служебных автомобилей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0001.0002.0024.0077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Выполнение требований к служебному поведению гражданского служащего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0001.0002.0024.0078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Соблюдение служебной дисциплины на гражданской службе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0001.0002.0024.0079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0001.0002.0024.0081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Проведение аттестации гражданских служащих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0001.0002.0024.0082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Урегулирование конфликта интересов на гражданской службе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0001.0002.0024.0083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Разрешение индивидуальных служебных споров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0001.0002.0025.0000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0001.0002.0025.0084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Государственные программы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0001.0002.0025.0092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Государственные и муниципальные услуги (многофункциональные центры)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0001.0002.0025.0106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0001.0002.0025.0114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0001.0002.0025.0120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Цены и ценообразование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0001.0002.0027.0000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Обращения, заявления и жалобы граждан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Неполучение ответа на обращение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6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Принятое по обращению решение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Действие (бездействие) при рассмотрении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Результаты рассмотрения обращений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0001.0002.0027.0126*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Отсутствует адресат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0001.0002.0027.0127*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Обращения, не подписанные авторами, без указания адреса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0001.0002.0027.0128*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Некорректные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0001.0002.0027.0129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Обращения, не поддающиеся прочтению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0001.0002.0027.0130*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Переписка прекращена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Прекращение рассмотрения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519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Предоставление дополнительных документов и материалов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113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Истребование дополнительных документов и материалов, в том числе в электронной форме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329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Ознакомление с документами и материалами, касающимися рассмотрения обращений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Предоставление ответа, размещенного на официальном сайте в сети «Интернет»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Рассмотрение обращения с выездом на место, в том числе с участием автора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0001.0002.0027.0137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lastRenderedPageBreak/>
              <w:t>0001.0002.0027.0138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0001.0002.0027.0142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Личный прием руководителями федеральных органов исполнительной власти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0001.0002.0027.0146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Личный прием иностранных граждан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0001.0002.0027.0149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0001.0002.0027.0153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Благодарности, пожелания сотрудникам подведомственных учреждений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0001.0002.0027.0155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Благодарности, приглашения, поздравления из зарубежных стран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0001.0002.0027.0157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Подарки, книги, фотографии, автографы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0001.0002.0027.0158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0001.0020.0000.0000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632423"/>
              </w:rPr>
            </w:pPr>
            <w:r>
              <w:rPr>
                <w:b/>
                <w:color w:val="632423"/>
              </w:rPr>
              <w:t>Международные отношения. Международное право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0001.0020.0191.0176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0001.0003.0000.0000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632423"/>
              </w:rPr>
            </w:pPr>
            <w:r>
              <w:rPr>
                <w:b/>
                <w:color w:val="632423"/>
              </w:rPr>
              <w:t>Гражданское право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0001.0003.0030.0000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Граждане (физические лица)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0001.0003.0030.0202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159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0001.0003.0030.0471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Проблемы предпринимателей, работающих без образования юридического лица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0001.0003.0031.0000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Юридические лица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0001.0003.0031.0203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Регистрация, перерегистрация юридических лиц всех форм собственности и видов деятельности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155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0001.0003.0037.0000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Право собственности и другие вещные права (за исключением международного частного права)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0001.0003.0037.0209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Приобретение права собственности. Прекращение права собственности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0001.0003.0037.0210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Государственная регистрация прав на недвижимое имущество и сделок с ним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0001.0003.0037.0213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Эффективность использования государственного имущества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0001.0003.0041.0000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0001.0003.0041.0219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r>
              <w:t>0002.0000.0000.0000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Социальная сфера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0002.0004.0000.0000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Семья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0002.0004.0048.0000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Алиментные обязательства членов семьи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0002.0004.0048.0232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Алиментные обязательства членов семьи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0002.0006.0000.0000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Труд и занятость населения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0002.0006.0064.0000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 xml:space="preserve">Трудоустройство и занятость населения (за </w:t>
            </w:r>
            <w:r>
              <w:rPr>
                <w:b/>
                <w:color w:val="800000"/>
              </w:rPr>
              <w:lastRenderedPageBreak/>
              <w:t>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lastRenderedPageBreak/>
              <w:t>0002.0006.0064.0249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Индексация заработной платы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0002.0006.0064.0250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Трудовые отношения. Заключение, изменение и прекращение трудового договора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14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0002.0006.0065.0000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Труд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0002.0006.0065.0254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Вопросы кадрового обеспечения организаций, предприятий и учреждений. Резерв управленческих кадров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0002.0006.0065.0257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Выплата заработной платы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0002.0006.0065.0258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Нормативное правовое регулирование в сфере труда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0002.0006.0065.0259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Увольнение и восстановление на работе (кроме обжалования решений судов)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Трудовые конфликты. Разрешение трудовых споров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 xml:space="preserve">Надзор и </w:t>
            </w:r>
            <w:proofErr w:type="gramStart"/>
            <w:r>
              <w:t>контроль за</w:t>
            </w:r>
            <w:proofErr w:type="gramEnd"/>
            <w:r>
              <w:t xml:space="preserve"> соблюдением трудового законодательства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Дисциплина труда. Привлечение к дисциплинарной ответственности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0002.0006.0065.0269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Материальная и моральная мотивация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0002.0007.0000.0000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Социальное обеспечение и социальное страхование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0002.0007.0066.0000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Общие положения</w:t>
            </w:r>
            <w:r>
              <w:rPr>
                <w:color w:val="800000"/>
              </w:rPr>
              <w:t xml:space="preserve"> </w:t>
            </w:r>
            <w:r>
              <w:rPr>
                <w:b/>
                <w:color w:val="800000"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0002.0007.0066.0271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0002.0007.0067.0000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Управление социальным обеспечением и социальным страхованием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0002.0007.0067.0274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0002.0007.0068.0000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Финансирование социального обеспечения и социального страхования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0002.0007.0068.0279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55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0002.0007.0069.0000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Трудовой стаж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0002.0007.0069.0280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Трудовой стаж и трудовые книжки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0002.0007.0071.0000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Пенсии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0002.0007.0071.0282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Назначение пенсии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0002.0007.0071.0283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Перерасчет размеров пенсий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lastRenderedPageBreak/>
              <w:t>0002.0007.0072.0000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0002.0007.0072.0288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Просьбы об оказании финансовой помощи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0002.0007.0072.0291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0002.0007.0074.0000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0002.0007.0074.0300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Льготы и меры социальной поддержки инвалидов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0002.0007.0074.0318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0002.0013.0000.0000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632423"/>
              </w:rPr>
            </w:pPr>
            <w:r>
              <w:rPr>
                <w:b/>
                <w:color w:val="632423"/>
              </w:rPr>
              <w:t>Образование. Наука. Культура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0002.0013.0141.0000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Культура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0002.0013.0141.0367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Государственный контроль и надзор в сфере сохранения культурного наследия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0002.0013.0142.0000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0002.0013.0142.0385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Взаимодействие граждан и организаций со средствами массовой информации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0002.0014.0000.0000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632423"/>
              </w:rPr>
            </w:pPr>
            <w:r>
              <w:rPr>
                <w:b/>
                <w:color w:val="632423"/>
              </w:rPr>
              <w:t>Здравоохранение. Физическая культура и спорт. Туризм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0002.0014.0143.0000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Здравоохранение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0002.0014.0143.0389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Работа медицинских учреждений и их сотрудников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0002.0014.0143.0390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Лечение и оказание медицинской помощи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0002.0014.0143.0413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Организация оказания медицинской помощи взрослым в амбулаторно-поликлинических условиях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0002.0014.0143.0414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Качество оказания медицинской помощи взрослым в амбулаторно-поликлинических условиях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0002.0014.0143.0429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Государственный контроль и надзор в сфере здравоохранения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0002.0014.0143.0431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color w:val="0000FF"/>
              </w:rPr>
            </w:pPr>
            <w:r>
              <w:rPr>
                <w:color w:val="0000FF"/>
              </w:rPr>
              <w:t>Курортное дело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0002.0014.0143.0431.0050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медицинская профилактика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0002.0014.0143.0431.0051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медицинская помощь и лечение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r>
              <w:t>0003.0000.0000.0000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Экономика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0003.0008.0000.0000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Финансы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0003.0008.0077.0000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Общие положения финансовой системы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0003.0008.0077.0457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Стратегия и перспективы развития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0003.0008.0079.0000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Денежная система и денежное обращение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0003.0008.0079.0503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Игорный бизнес. Лотереи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0003.0008.0086.0000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Налоги и сборы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0003.0008.0086.0537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Государственная политика в налоговой сфере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0003.0008.0086.0538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Налоговые преференции и льготы физическим лицам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618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0003.0008.0086.0539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Водный налог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Земельный налог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273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 на добавленную стоимость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62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 на добычу полезных ископаемых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Транспортный налог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509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 на имущество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1526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 на доходы физических лиц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1148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 на прибыль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lastRenderedPageBreak/>
              <w:t>0003.0008.0086.0547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Госпошлины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19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Налогообложение малого бизнеса, специальных налоговых режимов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403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0003.0008.0086.0548.0093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Налогообложение малого бизнеса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372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0003.0008.0086.0548.0094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Налог на профессиональный доход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0003.0008.0086.0548.0095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Иные специальные налоговые режимы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0003.0008.0086.0549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Юридические вопросы по налогам и сборам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Налогообложение алкогольной продукции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9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Учет налогоплательщиков. Получение и отказ от ИНН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2358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Организация работы с налогоплательщиками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97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Актуализация сведений об объектах налогообложения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1075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Получение налоговых уведомлений об уплате налога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452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Налоговая отчетность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47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Контроль и надзор в налоговой сфере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606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386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47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0003.0008.0086.0558.0096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Задолженность ФЛ, ИП, ЮЛ по налогам, сборам и взносам перед бюджетом иностранного государства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0003.0008.0086.0558.0097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Вопросы, касающиеся ареста имущества по ст. 77 НК РФ (наличие (отсутствие) сведений об аресте имущества в реестре обеспечительных мер (РОМ))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0003.0008.0086.0558.0098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Учет уплаченных налогов, сборов и иных платежей (розыск платежа)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0003.0008.0086.0558.0099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Несогласие со сведениями, размещаемыми в форме «открытых данных»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0003.0008.0086.0558.0100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Подтверждение статуса налогового резидента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0003.0008.0086.0558.0101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Получение справки об отсутствии задолженности по уплате налогов для выхода из гражданства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0003.0008.0086.0558.0107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Задолженность по налогам, сборам и взносам перед бюджетом Российской Федерации. Взыскание задолженности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1738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0003.0008.0086.0559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Предоставление отсрочки или рассрочки по уплате налога, сбора, пени, штрафа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center"/>
            </w:pPr>
            <w:r>
              <w:t>11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Уклонение от налогообложения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58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Доступ к персонифицированной информации о состоянии расчета с бюджетом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203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Оказание услуг в электронной форме. Пользование информационными ресурсами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0003.0008.0086.0562.0083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Оказание услуг в электронной форме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0003.0008.0086.0562.0084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Пользование информационными ресурсами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0003.0008.0086.0562.0085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Электронный документооборот между хозяйствующими субъектами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0003.0008.0086.0562.0086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О предоставлении информации о формировании и ведении государственного информационного ресурса бухгалтерской (финансовой)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0003.0008.0086.0562.0087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Предоставление сведений из ЕГР ЗАГС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lastRenderedPageBreak/>
              <w:t>0003.0008.0086.0562.0088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Предоставление услуг органов ЗАГС в электронном виде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0003.0008.0086.0562.0089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Электронные сервисы на портале ЕГР ЗАГС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0003.0008.0086.0562.0090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Предоставление сведений из ЕРН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Маркировка товаров контрольными (идентификационными) знаками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88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193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Регистрация физических лиц в качестве индивидуальных предпринимателей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91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Надзор в области организации и проведения азартных игр и лотерей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16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0003.0008.0086.0568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0003.0008.0086.0568.0091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Регистрация контрольно-кассовой техники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10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0003.0008.0086.0568.0092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i/>
                <w:color w:val="0000FF"/>
              </w:rPr>
            </w:pPr>
            <w:r>
              <w:rPr>
                <w:i/>
                <w:color w:val="0000FF"/>
              </w:rPr>
              <w:t>Контроль и надзор в сфере применения контрольно-кассовой техники;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90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0003.0008.0086.1198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107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0003.0008.0087.0000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Банковское дело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0003.0008.0087.0580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Банковское регулирование и надзор за деятельностью кредитных организаций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0003.0008.0088.0000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Ценные бумаги. Рынок ценных бумаг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0003.0008.0088.0603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Рынок ценных бумаг и профессиональная деятельность на рынке ценных бумаг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0003.0008.0089.0000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Валютное регулирование и валютный контроль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0003.0008.0089.0621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Валютный рынок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0003.0008.0089.0622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Валютное регулирование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0003.0008.0089.0623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4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0003.0008.0089.0624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Валютный контроль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35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0003.0008.0092.0000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Аудиторская деятельность (за исключением экологического аудита)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0003.0008.0092.0628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Проверка деятельности хозяйствующих субъектов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0003.0009.0000.0000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Хозяйственная деятельность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0003.0009.0094.0000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Геология. Геодезия и картография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0003.0009.0094.0668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 xml:space="preserve">Работа </w:t>
            </w:r>
            <w:proofErr w:type="spellStart"/>
            <w:r>
              <w:t>Росреестра</w:t>
            </w:r>
            <w:proofErr w:type="spellEnd"/>
            <w:r>
              <w:t xml:space="preserve"> в федеральных округах и в субъектах Российской Федерации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0003.0009.0096.0000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Строительство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0003.0009.0096.0674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Нормативное правовое регулирование строительной деятельности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0003.0009.0098.0000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Сельское хозяйство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0003.0009.0098.0723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 xml:space="preserve">Государственный земельный надзор в отношении земель сельскохозяйственного назначения. Информация </w:t>
            </w:r>
            <w:r>
              <w:lastRenderedPageBreak/>
              <w:t>о нарушениях земельного законодательства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lastRenderedPageBreak/>
              <w:t>0003.0009.0098.0728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Ненадлежащее содержание домашних животных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0003.0009.0099.0000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Транспорт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0003.0009.0099.0742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Эксплуатация и сохранность автомобильных дорог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0003.0009.0099.0749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Программа по утилизации старых автомобилей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0003.0009.0100.0000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Связь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0003.0009.0100.0750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Государственное регулирование деятельности в области связи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0003.0009.0100.0754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Оказание услуг почтовой связи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0003.0009.0100.0760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Качество оказания услуг связи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0003.0009.0100.0765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0003.0009.0102.0000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Торговля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0003.0009.0102.0771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Качество товаров. Защита прав потребителей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0003.0009.0102.0772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Продажа товаров с нарушением маркировки товаров контрольными (индикационными) знаками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0003.0010.0000.0000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Внешнеэкономическая деятельность. Таможенное дело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0003.0010.0112.0000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Зоны свободной торговли и таможенные союзы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0003.0010.0112.0787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Зоны свободной торговли и таможенные союзы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0003.0010.0116.0000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Таможенно-тарифное регулирование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0003.0010.0116.0791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Утилизационный сбор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0003.0010.0120.0000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0003.0010.0120.0801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Применение косвенных (внутренних) налогов при экспорте и импорте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0003.0010.0121.0000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0003.0010.0121.0802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Таможенное регулирование и таможенное дело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0003.0011.0000.0000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Природные ресурсы и охрана окружающей природной среды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0003.0011.0122.0000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0003.0011.0122.0828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Законодательство в области охраны окружающей среды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0003.0011.0123.0000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0003.0011.0123.0848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0003.0012.0000.0000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Информация и информатизация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0003.0012.0132.0000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Общие положения в сфере информации и информатизации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0003.0012.0132.0877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Оказание услуг в электронном виде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2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0003.0012.0133.0000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Управление в сфере информации и информатизации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0003.0012.0133.0879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Электронное правительство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0003.0012.0134.0000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pPr>
              <w:rPr>
                <w:b/>
                <w:color w:val="632423"/>
              </w:rPr>
            </w:pPr>
            <w:r>
              <w:rPr>
                <w:b/>
                <w:color w:val="632423"/>
              </w:rPr>
              <w:t>Информационные ресурсы. Пользование информационными ресурсами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0003.0012.0134.0880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Архивный фон. Архивы. Структура архивов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lastRenderedPageBreak/>
              <w:t>0003.0012.0134.0881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Запросы архивных данных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r>
              <w:t>0004.0000.0000.0000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Оборона, безопасность, законность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0004.0016.0000.0000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Безопасность и охрана правопорядка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0004.0016.0162.0000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Безопасность общества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0004.0016.0162.0995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Недружественное поглощение и захват предприятий (</w:t>
            </w:r>
            <w:proofErr w:type="spellStart"/>
            <w:r>
              <w:t>рейдерство</w:t>
            </w:r>
            <w:proofErr w:type="spellEnd"/>
            <w:r>
              <w:t>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0004.0016.0162.0996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Преступления против собственности (государственной, частной, личной)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0004.0016.0162.1003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Борьба с коррупцией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0004.0016.0162.1005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Ответственность за нарушение законодательства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0004.0016.0162.1006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Ответственность за нарушение жилищного законодательства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0004.0016.0162.1010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0004.0016.0162.1015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Ответственность за нарушение в сфере ЖКХ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0004.0016.0162.1020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Паспортная система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0004.0016.0162.1021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Регистрация по месту жительства и пребывания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jc w:val="right"/>
            </w:pPr>
            <w:r>
              <w:t>1</w:t>
            </w: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0004.0016.0162.1022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Противопожарная служба, соблюдение норм противопожарной безопасности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0004.0018.0000.0000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632423"/>
              </w:rPr>
            </w:pPr>
            <w:r>
              <w:rPr>
                <w:b/>
                <w:color w:val="632423"/>
              </w:rPr>
              <w:t>Правосудие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0004.0018.0171.0000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Судоустройство. Судебная система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0004.0018.0171.1059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Обжалование судебных решений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0004.0018.0171.1070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D48EF" w:rsidRDefault="00775E52">
            <w:r>
              <w:t>0004.0018.0171.1075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0004.0018.0171.1081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r>
              <w:t>0005.0000.0000.0000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D48EF" w:rsidRDefault="00775E52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Жилищно-коммунальная сфера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r>
              <w:t>0005.0005.0000.0000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Жилище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0005.0005.0055.0000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0005.0005.0055.1131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Выделение жилья молодым семьям, специалистам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0005.0005.0055.1142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Служебные жилые помещения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0005.0005.0056.0000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Коммунальное хозяйство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0005.0005.0056.1149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Оплата жилищно-коммунальных услуг (ЖКХ), взносов в Фонд капитального ремонта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48EF" w:rsidRDefault="00775E52">
            <w:r>
              <w:t>0005.0005.0057.0000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  <w:color w:val="800000"/>
              </w:rPr>
            </w:pPr>
            <w:r>
              <w:rPr>
                <w:b/>
                <w:color w:val="800000"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0005.0005.0057.1177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Участие в долевом строительстве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0005.0005.0057.1179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r>
              <w:t>Предоставление субсидий на жилье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0D48EF">
            <w:pPr>
              <w:jc w:val="right"/>
            </w:pPr>
          </w:p>
        </w:tc>
      </w:tr>
      <w:tr w:rsidR="000D48EF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8EF" w:rsidRDefault="00775E52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6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D48EF" w:rsidRDefault="00775E52">
            <w:r>
              <w:t> 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D48EF" w:rsidRDefault="00775E52">
            <w:pPr>
              <w:jc w:val="right"/>
              <w:rPr>
                <w:b/>
              </w:rPr>
            </w:pPr>
            <w:r>
              <w:rPr>
                <w:b/>
              </w:rPr>
              <w:t>14276</w:t>
            </w:r>
          </w:p>
        </w:tc>
      </w:tr>
    </w:tbl>
    <w:p w:rsidR="000D48EF" w:rsidRDefault="000D48EF" w:rsidP="00775E52">
      <w:pPr>
        <w:jc w:val="center"/>
      </w:pPr>
    </w:p>
    <w:sectPr w:rsidR="000D48EF">
      <w:headerReference w:type="default" r:id="rId7"/>
      <w:pgSz w:w="11906" w:h="16838"/>
      <w:pgMar w:top="1134" w:right="56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808" w:rsidRDefault="00775E52">
      <w:r>
        <w:separator/>
      </w:r>
    </w:p>
  </w:endnote>
  <w:endnote w:type="continuationSeparator" w:id="0">
    <w:p w:rsidR="00420808" w:rsidRDefault="00775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808" w:rsidRDefault="00775E52">
      <w:r>
        <w:separator/>
      </w:r>
    </w:p>
  </w:footnote>
  <w:footnote w:type="continuationSeparator" w:id="0">
    <w:p w:rsidR="00420808" w:rsidRDefault="00775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8EF" w:rsidRDefault="00775E52">
    <w:pPr>
      <w:framePr w:wrap="around" w:vAnchor="text" w:hAnchor="margin" w:xAlign="center" w:y="1"/>
    </w:pPr>
    <w:r>
      <w:rPr>
        <w:rStyle w:val="1fe"/>
        <w:sz w:val="22"/>
      </w:rPr>
      <w:fldChar w:fldCharType="begin"/>
    </w:r>
    <w:r>
      <w:rPr>
        <w:rStyle w:val="1fe"/>
        <w:sz w:val="22"/>
      </w:rPr>
      <w:instrText xml:space="preserve">PAGE </w:instrText>
    </w:r>
    <w:r>
      <w:rPr>
        <w:rStyle w:val="1fe"/>
        <w:sz w:val="22"/>
      </w:rPr>
      <w:fldChar w:fldCharType="separate"/>
    </w:r>
    <w:r w:rsidR="001862AA">
      <w:rPr>
        <w:rStyle w:val="1fe"/>
        <w:noProof/>
        <w:sz w:val="22"/>
      </w:rPr>
      <w:t>12</w:t>
    </w:r>
    <w:r>
      <w:rPr>
        <w:rStyle w:val="1fe"/>
        <w:sz w:val="22"/>
      </w:rPr>
      <w:fldChar w:fldCharType="end"/>
    </w:r>
  </w:p>
  <w:p w:rsidR="000D48EF" w:rsidRDefault="000D48EF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48EF"/>
    <w:rsid w:val="000D48EF"/>
    <w:rsid w:val="001862AA"/>
    <w:rsid w:val="00420808"/>
    <w:rsid w:val="0077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459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Body Text Indent"/>
    <w:basedOn w:val="a"/>
    <w:link w:val="a4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110">
    <w:name w:val="Знак1 Знак Знак Знак Знак Знак Знак Знак Знак Знак Знак Знак Знак Знак Знак Знак Знак Знак Знак Знак Знак1 Знак"/>
    <w:basedOn w:val="a"/>
    <w:link w:val="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">
    <w:name w:val="Знак1 Знак Знак Знак Знак Знак Знак Знак Знак Знак Знак Знак Знак Знак Знак Знак Знак Знак Знак Знак Знак1 Знак"/>
    <w:basedOn w:val="1"/>
    <w:link w:val="110"/>
    <w:rPr>
      <w:rFonts w:ascii="Verdana" w:hAnsi="Verdana"/>
      <w:sz w:val="20"/>
    </w:rPr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character" w:customStyle="1" w:styleId="70">
    <w:name w:val="Заголовок 7 Знак"/>
    <w:basedOn w:val="1"/>
    <w:link w:val="7"/>
    <w:rPr>
      <w:i/>
      <w:sz w:val="26"/>
    </w:rPr>
  </w:style>
  <w:style w:type="paragraph" w:customStyle="1" w:styleId="112">
    <w:name w:val="1 Знак Знак Знак Знак Знак Знак Знак Знак Знак1 Знак"/>
    <w:basedOn w:val="a"/>
    <w:link w:val="113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3">
    <w:name w:val="1 Знак Знак Знак Знак Знак Знак Знак Знак Знак1 Знак"/>
    <w:basedOn w:val="1"/>
    <w:link w:val="112"/>
    <w:rPr>
      <w:rFonts w:ascii="Verdana" w:hAnsi="Verdana"/>
      <w:sz w:val="20"/>
    </w:rPr>
  </w:style>
  <w:style w:type="paragraph" w:customStyle="1" w:styleId="14">
    <w:name w:val="Знак Знак Знак_1"/>
    <w:basedOn w:val="a"/>
    <w:link w:val="15"/>
    <w:pPr>
      <w:spacing w:after="160" w:line="240" w:lineRule="exact"/>
    </w:pPr>
    <w:rPr>
      <w:sz w:val="28"/>
    </w:rPr>
  </w:style>
  <w:style w:type="character" w:customStyle="1" w:styleId="15">
    <w:name w:val="Знак Знак Знак_1"/>
    <w:basedOn w:val="1"/>
    <w:link w:val="14"/>
    <w:rPr>
      <w:sz w:val="28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b/>
    </w:rPr>
  </w:style>
  <w:style w:type="character" w:customStyle="1" w:styleId="xl790">
    <w:name w:val="xl79"/>
    <w:basedOn w:val="1"/>
    <w:link w:val="xl79"/>
    <w:rPr>
      <w:b/>
      <w:sz w:val="24"/>
    </w:rPr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1">
    <w:name w:val="toc 7"/>
    <w:next w:val="a"/>
    <w:link w:val="72"/>
    <w:uiPriority w:val="39"/>
    <w:pPr>
      <w:ind w:left="1200"/>
    </w:pPr>
  </w:style>
  <w:style w:type="character" w:customStyle="1" w:styleId="72">
    <w:name w:val="Оглавление 7 Знак"/>
    <w:link w:val="71"/>
  </w:style>
  <w:style w:type="paragraph" w:customStyle="1" w:styleId="xl65">
    <w:name w:val="xl65"/>
    <w:basedOn w:val="a"/>
    <w:link w:val="xl650"/>
    <w:pPr>
      <w:spacing w:beforeAutospacing="1" w:afterAutospacing="1"/>
    </w:pPr>
  </w:style>
  <w:style w:type="character" w:customStyle="1" w:styleId="xl650">
    <w:name w:val="xl65"/>
    <w:basedOn w:val="1"/>
    <w:link w:val="xl65"/>
    <w:rPr>
      <w:sz w:val="2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b/>
      <w:color w:val="800000"/>
    </w:rPr>
  </w:style>
  <w:style w:type="character" w:customStyle="1" w:styleId="xl730">
    <w:name w:val="xl73"/>
    <w:basedOn w:val="1"/>
    <w:link w:val="xl73"/>
    <w:rPr>
      <w:b/>
      <w:color w:val="800000"/>
      <w:sz w:val="2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b/>
      <w:color w:val="632423"/>
    </w:rPr>
  </w:style>
  <w:style w:type="character" w:customStyle="1" w:styleId="xl760">
    <w:name w:val="xl76"/>
    <w:basedOn w:val="1"/>
    <w:link w:val="xl76"/>
    <w:rPr>
      <w:b/>
      <w:color w:val="632423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i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1"/>
    <w:link w:val="a5"/>
    <w:rPr>
      <w:sz w:val="24"/>
    </w:rPr>
  </w:style>
  <w:style w:type="paragraph" w:customStyle="1" w:styleId="16">
    <w:name w:val="Основной шрифт абзаца1"/>
  </w:style>
  <w:style w:type="paragraph" w:customStyle="1" w:styleId="xl72">
    <w:name w:val="xl72"/>
    <w:basedOn w:val="a"/>
    <w:link w:val="xl720"/>
    <w:pPr>
      <w:spacing w:beforeAutospacing="1" w:afterAutospacing="1"/>
    </w:pPr>
  </w:style>
  <w:style w:type="character" w:customStyle="1" w:styleId="xl720">
    <w:name w:val="xl72"/>
    <w:basedOn w:val="1"/>
    <w:link w:val="xl72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7">
    <w:name w:val="caption"/>
    <w:basedOn w:val="a"/>
    <w:next w:val="a"/>
    <w:link w:val="a8"/>
    <w:pPr>
      <w:jc w:val="center"/>
    </w:pPr>
    <w:rPr>
      <w:b/>
      <w:sz w:val="28"/>
    </w:rPr>
  </w:style>
  <w:style w:type="character" w:customStyle="1" w:styleId="a8">
    <w:name w:val="Название объекта Знак"/>
    <w:basedOn w:val="1"/>
    <w:link w:val="a7"/>
    <w:rPr>
      <w:b/>
      <w:sz w:val="28"/>
    </w:rPr>
  </w:style>
  <w:style w:type="paragraph" w:customStyle="1" w:styleId="a9">
    <w:name w:val="Знак"/>
    <w:basedOn w:val="a"/>
    <w:link w:val="aa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a">
    <w:name w:val="Знак"/>
    <w:basedOn w:val="1"/>
    <w:link w:val="a9"/>
    <w:rPr>
      <w:rFonts w:ascii="Verdana" w:hAnsi="Verdana"/>
      <w:sz w:val="20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b/>
      <w:color w:val="800000"/>
    </w:rPr>
  </w:style>
  <w:style w:type="character" w:customStyle="1" w:styleId="xl680">
    <w:name w:val="xl68"/>
    <w:basedOn w:val="1"/>
    <w:link w:val="xl68"/>
    <w:rPr>
      <w:b/>
      <w:color w:val="800000"/>
      <w:sz w:val="24"/>
    </w:rPr>
  </w:style>
  <w:style w:type="paragraph" w:customStyle="1" w:styleId="17">
    <w:name w:val="1 Знак Знак Знак"/>
    <w:basedOn w:val="a"/>
    <w:link w:val="18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8">
    <w:name w:val="1 Знак Знак Знак"/>
    <w:basedOn w:val="1"/>
    <w:link w:val="17"/>
    <w:rPr>
      <w:rFonts w:ascii="Verdana" w:hAnsi="Verdana"/>
      <w:sz w:val="20"/>
    </w:rPr>
  </w:style>
  <w:style w:type="paragraph" w:customStyle="1" w:styleId="19">
    <w:name w:val="1 Знак Знак Знак Знак Знак Знак Знак Знак Знак"/>
    <w:basedOn w:val="a"/>
    <w:link w:val="1a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a">
    <w:name w:val="1 Знак Знак Знак Знак Знак Знак Знак Знак Знак"/>
    <w:basedOn w:val="1"/>
    <w:link w:val="19"/>
    <w:rPr>
      <w:rFonts w:ascii="Verdana" w:hAnsi="Verdana"/>
      <w:sz w:val="2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character" w:customStyle="1" w:styleId="50">
    <w:name w:val="Заголовок 5 Знак"/>
    <w:basedOn w:val="1"/>
    <w:link w:val="5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customStyle="1" w:styleId="1b">
    <w:name w:val="Гиперссылка1"/>
    <w:link w:val="1c"/>
    <w:rPr>
      <w:color w:val="0000FF"/>
      <w:u w:val="single"/>
    </w:rPr>
  </w:style>
  <w:style w:type="character" w:customStyle="1" w:styleId="1c">
    <w:name w:val="Гиперссылка1"/>
    <w:link w:val="1b"/>
    <w:rPr>
      <w:color w:val="0000FF"/>
      <w:u w:val="single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d">
    <w:name w:val="Знак1"/>
    <w:basedOn w:val="a"/>
    <w:link w:val="1e"/>
    <w:pPr>
      <w:spacing w:after="160" w:line="240" w:lineRule="exact"/>
    </w:pPr>
    <w:rPr>
      <w:sz w:val="28"/>
    </w:rPr>
  </w:style>
  <w:style w:type="character" w:customStyle="1" w:styleId="1e">
    <w:name w:val="Знак1"/>
    <w:basedOn w:val="1"/>
    <w:link w:val="1d"/>
    <w:rPr>
      <w:sz w:val="28"/>
    </w:rPr>
  </w:style>
  <w:style w:type="paragraph" w:customStyle="1" w:styleId="23">
    <w:name w:val="Гиперссылка2"/>
    <w:link w:val="ad"/>
    <w:rPr>
      <w:color w:val="0000FF"/>
      <w:u w:val="single"/>
    </w:rPr>
  </w:style>
  <w:style w:type="character" w:styleId="ad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xl80">
    <w:name w:val="xl80"/>
    <w:basedOn w:val="a"/>
    <w:link w:val="xl800"/>
    <w:pPr>
      <w:spacing w:beforeAutospacing="1" w:afterAutospacing="1"/>
      <w:jc w:val="center"/>
    </w:pPr>
  </w:style>
  <w:style w:type="character" w:customStyle="1" w:styleId="xl800">
    <w:name w:val="xl80"/>
    <w:basedOn w:val="1"/>
    <w:link w:val="xl80"/>
    <w:rPr>
      <w:sz w:val="24"/>
    </w:rPr>
  </w:style>
  <w:style w:type="paragraph" w:styleId="1f">
    <w:name w:val="toc 1"/>
    <w:next w:val="a"/>
    <w:link w:val="1f0"/>
    <w:uiPriority w:val="39"/>
    <w:rPr>
      <w:rFonts w:ascii="XO Thames" w:hAnsi="XO Thames"/>
      <w:b/>
    </w:rPr>
  </w:style>
  <w:style w:type="character" w:customStyle="1" w:styleId="1f0">
    <w:name w:val="Оглавление 1 Знак"/>
    <w:link w:val="1f"/>
    <w:rPr>
      <w:rFonts w:ascii="XO Thames" w:hAnsi="XO Thames"/>
      <w:b/>
    </w:rPr>
  </w:style>
  <w:style w:type="paragraph" w:styleId="24">
    <w:name w:val="Body Text 2"/>
    <w:basedOn w:val="a"/>
    <w:link w:val="25"/>
    <w:pPr>
      <w:jc w:val="center"/>
    </w:pPr>
    <w:rPr>
      <w:sz w:val="28"/>
    </w:rPr>
  </w:style>
  <w:style w:type="character" w:customStyle="1" w:styleId="25">
    <w:name w:val="Основной текст 2 Знак"/>
    <w:basedOn w:val="1"/>
    <w:link w:val="24"/>
    <w:rPr>
      <w:sz w:val="28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b/>
      <w:color w:val="800000"/>
    </w:rPr>
  </w:style>
  <w:style w:type="character" w:customStyle="1" w:styleId="xl710">
    <w:name w:val="xl71"/>
    <w:basedOn w:val="1"/>
    <w:link w:val="xl71"/>
    <w:rPr>
      <w:b/>
      <w:color w:val="800000"/>
      <w:sz w:val="24"/>
    </w:rPr>
  </w:style>
  <w:style w:type="paragraph" w:customStyle="1" w:styleId="xl74">
    <w:name w:val="xl74"/>
    <w:basedOn w:val="a"/>
    <w:link w:val="xl740"/>
    <w:pPr>
      <w:spacing w:beforeAutospacing="1" w:afterAutospacing="1"/>
    </w:pPr>
  </w:style>
  <w:style w:type="character" w:customStyle="1" w:styleId="xl740">
    <w:name w:val="xl74"/>
    <w:basedOn w:val="1"/>
    <w:link w:val="xl74"/>
    <w:rPr>
      <w:sz w:val="24"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ae">
    <w:name w:val="Знак Знак Знак Знак Знак Знак Знак Знак Знак"/>
    <w:basedOn w:val="a"/>
    <w:link w:val="af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f">
    <w:name w:val="Знак Знак Знак Знак Знак Знак Знак Знак Знак"/>
    <w:basedOn w:val="1"/>
    <w:link w:val="ae"/>
    <w:rPr>
      <w:rFonts w:ascii="Verdana" w:hAnsi="Verdana"/>
      <w:sz w:val="20"/>
    </w:rPr>
  </w:style>
  <w:style w:type="paragraph" w:customStyle="1" w:styleId="1f1">
    <w:name w:val="Основной шрифт абзаца1"/>
    <w:link w:val="1f2"/>
  </w:style>
  <w:style w:type="character" w:customStyle="1" w:styleId="1f2">
    <w:name w:val="Основной шрифт абзаца1"/>
    <w:link w:val="1f1"/>
  </w:style>
  <w:style w:type="paragraph" w:styleId="af0">
    <w:name w:val="Body Text"/>
    <w:basedOn w:val="a"/>
    <w:link w:val="af1"/>
    <w:pPr>
      <w:spacing w:before="30" w:after="30"/>
      <w:ind w:right="21" w:firstLine="708"/>
      <w:jc w:val="both"/>
    </w:pPr>
    <w:rPr>
      <w:sz w:val="27"/>
    </w:rPr>
  </w:style>
  <w:style w:type="character" w:customStyle="1" w:styleId="af1">
    <w:name w:val="Основной текст Знак"/>
    <w:basedOn w:val="1"/>
    <w:link w:val="af0"/>
    <w:rPr>
      <w:sz w:val="27"/>
    </w:rPr>
  </w:style>
  <w:style w:type="paragraph" w:customStyle="1" w:styleId="xl77">
    <w:name w:val="xl77"/>
    <w:basedOn w:val="a"/>
    <w:link w:val="xl770"/>
    <w:pPr>
      <w:spacing w:beforeAutospacing="1" w:afterAutospacing="1"/>
    </w:pPr>
    <w:rPr>
      <w:b/>
      <w:color w:val="800000"/>
    </w:rPr>
  </w:style>
  <w:style w:type="character" w:customStyle="1" w:styleId="xl770">
    <w:name w:val="xl77"/>
    <w:basedOn w:val="1"/>
    <w:link w:val="xl77"/>
    <w:rPr>
      <w:b/>
      <w:color w:val="800000"/>
      <w:sz w:val="24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1f3">
    <w:name w:val="Знак Знак Знак Знак Знак Знак1 Знак"/>
    <w:basedOn w:val="a"/>
    <w:link w:val="1f4"/>
    <w:pPr>
      <w:spacing w:after="160" w:line="240" w:lineRule="exact"/>
    </w:pPr>
    <w:rPr>
      <w:sz w:val="28"/>
    </w:rPr>
  </w:style>
  <w:style w:type="character" w:customStyle="1" w:styleId="1f4">
    <w:name w:val="Знак Знак Знак Знак Знак Знак1 Знак"/>
    <w:basedOn w:val="1"/>
    <w:link w:val="1f3"/>
    <w:rPr>
      <w:sz w:val="28"/>
    </w:rPr>
  </w:style>
  <w:style w:type="paragraph" w:customStyle="1" w:styleId="1f5">
    <w:name w:val="1 Знак Знак Знак Знак Знак Знак Знак"/>
    <w:basedOn w:val="a"/>
    <w:link w:val="1f6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6">
    <w:name w:val="1 Знак Знак Знак Знак Знак Знак Знак"/>
    <w:basedOn w:val="1"/>
    <w:link w:val="1f5"/>
    <w:rPr>
      <w:rFonts w:ascii="Verdana" w:hAnsi="Verdana"/>
      <w:sz w:val="20"/>
    </w:rPr>
  </w:style>
  <w:style w:type="paragraph" w:customStyle="1" w:styleId="1f7">
    <w:name w:val="1 Знак Знак Знак Знак Знак Знак"/>
    <w:basedOn w:val="a"/>
    <w:link w:val="1f8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8">
    <w:name w:val="1 Знак Знак Знак Знак Знак Знак"/>
    <w:basedOn w:val="1"/>
    <w:link w:val="1f7"/>
    <w:rPr>
      <w:rFonts w:ascii="Verdana" w:hAnsi="Verdana"/>
      <w:sz w:val="20"/>
    </w:rPr>
  </w:style>
  <w:style w:type="paragraph" w:customStyle="1" w:styleId="1f9">
    <w:name w:val="1 Знак"/>
    <w:basedOn w:val="a"/>
    <w:link w:val="1fa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a">
    <w:name w:val="1 Знак"/>
    <w:basedOn w:val="1"/>
    <w:link w:val="1f9"/>
    <w:rPr>
      <w:rFonts w:ascii="Verdana" w:hAnsi="Verdana"/>
      <w:sz w:val="20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xl70">
    <w:name w:val="xl70"/>
    <w:basedOn w:val="a"/>
    <w:link w:val="xl700"/>
    <w:pPr>
      <w:spacing w:beforeAutospacing="1" w:afterAutospacing="1"/>
    </w:pPr>
  </w:style>
  <w:style w:type="character" w:customStyle="1" w:styleId="xl700">
    <w:name w:val="xl70"/>
    <w:basedOn w:val="1"/>
    <w:link w:val="xl70"/>
    <w:rPr>
      <w:sz w:val="24"/>
    </w:rPr>
  </w:style>
  <w:style w:type="paragraph" w:customStyle="1" w:styleId="1110">
    <w:name w:val="1 Знак Знак Знак Знак Знак Знак Знак Знак Знак1 Знак1"/>
    <w:basedOn w:val="a"/>
    <w:link w:val="1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1">
    <w:name w:val="1 Знак Знак Знак Знак Знак Знак Знак Знак Знак1 Знак1"/>
    <w:basedOn w:val="1"/>
    <w:link w:val="1110"/>
    <w:rPr>
      <w:rFonts w:ascii="Verdana" w:hAnsi="Verdana"/>
      <w:sz w:val="20"/>
    </w:rPr>
  </w:style>
  <w:style w:type="paragraph" w:customStyle="1" w:styleId="xl66">
    <w:name w:val="xl66"/>
    <w:basedOn w:val="a"/>
    <w:link w:val="xl660"/>
    <w:pPr>
      <w:spacing w:beforeAutospacing="1" w:afterAutospacing="1"/>
      <w:jc w:val="center"/>
    </w:pPr>
  </w:style>
  <w:style w:type="character" w:customStyle="1" w:styleId="xl660">
    <w:name w:val="xl66"/>
    <w:basedOn w:val="1"/>
    <w:link w:val="xl66"/>
    <w:rPr>
      <w:sz w:val="24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sz w:val="24"/>
    </w:rPr>
  </w:style>
  <w:style w:type="paragraph" w:customStyle="1" w:styleId="1fb">
    <w:name w:val="Просмотренная гиперссылка1"/>
    <w:link w:val="1fc"/>
    <w:rPr>
      <w:color w:val="954F72"/>
      <w:u w:val="single"/>
    </w:rPr>
  </w:style>
  <w:style w:type="character" w:customStyle="1" w:styleId="1fc">
    <w:name w:val="Просмотренная гиперссылка1"/>
    <w:link w:val="1fb"/>
    <w:rPr>
      <w:color w:val="954F72"/>
      <w:u w:val="single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xl67">
    <w:name w:val="xl67"/>
    <w:basedOn w:val="a"/>
    <w:link w:val="xl670"/>
    <w:pPr>
      <w:spacing w:beforeAutospacing="1" w:afterAutospacing="1"/>
    </w:pPr>
  </w:style>
  <w:style w:type="character" w:customStyle="1" w:styleId="xl670">
    <w:name w:val="xl67"/>
    <w:basedOn w:val="1"/>
    <w:link w:val="xl67"/>
    <w:rPr>
      <w:sz w:val="24"/>
    </w:rPr>
  </w:style>
  <w:style w:type="paragraph" w:customStyle="1" w:styleId="font5">
    <w:name w:val="font5"/>
    <w:basedOn w:val="a"/>
    <w:link w:val="font50"/>
    <w:pPr>
      <w:spacing w:beforeAutospacing="1" w:afterAutospacing="1"/>
    </w:pPr>
    <w:rPr>
      <w:b/>
      <w:color w:val="800000"/>
    </w:rPr>
  </w:style>
  <w:style w:type="character" w:customStyle="1" w:styleId="font50">
    <w:name w:val="font5"/>
    <w:basedOn w:val="1"/>
    <w:link w:val="font5"/>
    <w:rPr>
      <w:b/>
      <w:color w:val="800000"/>
      <w:sz w:val="24"/>
    </w:rPr>
  </w:style>
  <w:style w:type="paragraph" w:customStyle="1" w:styleId="xl75">
    <w:name w:val="xl75"/>
    <w:basedOn w:val="a"/>
    <w:link w:val="xl750"/>
    <w:pPr>
      <w:spacing w:beforeAutospacing="1" w:afterAutospacing="1"/>
    </w:pPr>
  </w:style>
  <w:style w:type="character" w:customStyle="1" w:styleId="xl750">
    <w:name w:val="xl75"/>
    <w:basedOn w:val="1"/>
    <w:link w:val="xl75"/>
    <w:rPr>
      <w:sz w:val="24"/>
    </w:rPr>
  </w:style>
  <w:style w:type="paragraph" w:styleId="af4">
    <w:name w:val="Subtitle"/>
    <w:next w:val="a"/>
    <w:link w:val="af5"/>
    <w:uiPriority w:val="11"/>
    <w:qFormat/>
    <w:rPr>
      <w:rFonts w:ascii="XO Thames" w:hAnsi="XO Thames"/>
      <w:i/>
      <w:color w:val="616161"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6">
    <w:name w:val="Title"/>
    <w:basedOn w:val="a"/>
    <w:link w:val="af7"/>
    <w:uiPriority w:val="10"/>
    <w:qFormat/>
    <w:pPr>
      <w:ind w:right="-908" w:hanging="1134"/>
      <w:jc w:val="center"/>
    </w:pPr>
    <w:rPr>
      <w:b/>
      <w:sz w:val="36"/>
    </w:rPr>
  </w:style>
  <w:style w:type="character" w:customStyle="1" w:styleId="af7">
    <w:name w:val="Название Знак"/>
    <w:basedOn w:val="1"/>
    <w:link w:val="af6"/>
    <w:rPr>
      <w:b/>
      <w:sz w:val="36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b/>
      <w:color w:val="632423"/>
    </w:rPr>
  </w:style>
  <w:style w:type="character" w:customStyle="1" w:styleId="xl780">
    <w:name w:val="xl78"/>
    <w:basedOn w:val="1"/>
    <w:link w:val="xl78"/>
    <w:rPr>
      <w:b/>
      <w:color w:val="632423"/>
      <w:sz w:val="24"/>
    </w:rPr>
  </w:style>
  <w:style w:type="paragraph" w:customStyle="1" w:styleId="af8">
    <w:name w:val="Знак Знак Знак"/>
    <w:basedOn w:val="a"/>
    <w:link w:val="af9"/>
    <w:pPr>
      <w:spacing w:after="160" w:line="240" w:lineRule="exact"/>
    </w:pPr>
    <w:rPr>
      <w:sz w:val="28"/>
    </w:rPr>
  </w:style>
  <w:style w:type="character" w:customStyle="1" w:styleId="af9">
    <w:name w:val="Знак Знак Знак"/>
    <w:basedOn w:val="1"/>
    <w:link w:val="af8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fd">
    <w:name w:val="Номер страницы1"/>
    <w:basedOn w:val="1f1"/>
    <w:link w:val="1fe"/>
  </w:style>
  <w:style w:type="character" w:customStyle="1" w:styleId="1fe">
    <w:name w:val="Номер страницы1"/>
    <w:basedOn w:val="1f2"/>
    <w:link w:val="1fd"/>
  </w:style>
  <w:style w:type="character" w:customStyle="1" w:styleId="60">
    <w:name w:val="Заголовок 6 Знак"/>
    <w:basedOn w:val="1"/>
    <w:link w:val="6"/>
    <w:rPr>
      <w:sz w:val="28"/>
    </w:rPr>
  </w:style>
  <w:style w:type="paragraph" w:customStyle="1" w:styleId="font6">
    <w:name w:val="font6"/>
    <w:basedOn w:val="a"/>
    <w:link w:val="font60"/>
    <w:pPr>
      <w:spacing w:beforeAutospacing="1" w:afterAutospacing="1"/>
    </w:pPr>
    <w:rPr>
      <w:color w:val="800000"/>
    </w:rPr>
  </w:style>
  <w:style w:type="character" w:customStyle="1" w:styleId="font60">
    <w:name w:val="font6"/>
    <w:basedOn w:val="1"/>
    <w:link w:val="font6"/>
    <w:rPr>
      <w:color w:val="800000"/>
      <w:sz w:val="24"/>
    </w:rPr>
  </w:style>
  <w:style w:type="table" w:styleId="a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4480</Words>
  <Characters>25536</Characters>
  <Application>Microsoft Office Word</Application>
  <DocSecurity>0</DocSecurity>
  <Lines>212</Lines>
  <Paragraphs>59</Paragraphs>
  <ScaleCrop>false</ScaleCrop>
  <Company/>
  <LinksUpToDate>false</LinksUpToDate>
  <CharactersWithSpaces>29957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Skype</cp:lastModifiedBy>
  <cp:revision>3</cp:revision>
  <dcterms:created xsi:type="dcterms:W3CDTF">2026-01-19T06:00:00Z</dcterms:created>
  <dcterms:modified xsi:type="dcterms:W3CDTF">2026-01-19T06:12:00Z</dcterms:modified>
</cp:coreProperties>
</file>